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76"/>
        <w:ind w:firstLine="708"/>
        <w:jc w:val="both"/>
        <w:rPr>
          <w:rFonts w:ascii="Times New Roman" w:cs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>Kahramanmaraş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 xml:space="preserve"> İl Umumi Hıfzıssıhha Meclisi 15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>.0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>9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>2021 günü saat 1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>4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>.00’d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>e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 xml:space="preserve"> Vali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 xml:space="preserve">miz Ömer Faruk COŞKUN 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>Başkanlığında Valilik Toplantı Salonunda toplanarak aşağıdaki kararları almıştır.</w:t>
      </w:r>
    </w:p>
    <w:p>
      <w:pPr>
        <w:pStyle w:val="style179"/>
        <w:numPr>
          <w:ilvl w:val="0"/>
          <w:numId w:val="1"/>
        </w:numPr>
        <w:spacing w:after="0" w:lineRule="auto" w:line="276"/>
        <w:jc w:val="both"/>
        <w:rPr>
          <w:rFonts w:ascii="Times New Roman" w:cs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>Ç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>eşitli sebeplerle (yükseköğretim, çalışma, gezi vb.)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 xml:space="preserve"> g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 xml:space="preserve">eçici olarak bulunduğu yerde PCR test sonucu pozitif olduğu anlaşılan kişilerin 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>izolasyon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 xml:space="preserve"> süreçlerini geçirmek üzere özel araçlarıyla (toplu taşıma vasıtaları kesinlikle kullanılmayacaktır) asıl ikametlerine dönmelerine yolculuk sırasında sair sebeplerle (mola vb.) diğer kişilerle temas etmeyeceğine yönelik taahhütte bulunması koşuluyla izin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>verilmesi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>ne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>,</w:t>
      </w:r>
    </w:p>
    <w:p>
      <w:pPr>
        <w:pStyle w:val="style179"/>
        <w:numPr>
          <w:ilvl w:val="0"/>
          <w:numId w:val="1"/>
        </w:numPr>
        <w:spacing w:after="0" w:lineRule="auto" w:line="276"/>
        <w:jc w:val="both"/>
        <w:rPr>
          <w:rFonts w:ascii="Times New Roman" w:cs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>Asıl ikametlerine gide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>meyecek durumda olanların,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 xml:space="preserve">Valiliğimiz ve 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>Kaymak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>amlıklarca belirlenen yerlerde karantina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>ya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 xml:space="preserve"> alınmasına,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 xml:space="preserve"> konaklama bedellerinin, 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>izolasyona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 xml:space="preserve"> tabi tutulan kişilerce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>karşılanması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>na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 xml:space="preserve">, ancak yapılacak gelir tespitine göre konaklama bedelini karşılayamayacak 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 xml:space="preserve">durumdaki kişilere ait giderlerin ise 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>Sosyal Yardımlaşma ve Dayanışma Vakıflarınca destek sağlanması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>na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>,</w:t>
      </w:r>
    </w:p>
    <w:p>
      <w:pPr>
        <w:pStyle w:val="style179"/>
        <w:numPr>
          <w:ilvl w:val="0"/>
          <w:numId w:val="1"/>
        </w:numPr>
        <w:spacing w:after="0" w:lineRule="auto" w:line="276"/>
        <w:jc w:val="both"/>
        <w:rPr>
          <w:rFonts w:ascii="Times New Roman" w:cs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 xml:space="preserve">İzolasyon koşullarını ihlal etmesi nedeniyle zorunlu 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>izolasyona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 xml:space="preserve"> tabi tutulacak kişilerin Valili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 xml:space="preserve">ğimizce ve 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>Kaymakamlıklarca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>tespit edilen yerler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>de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 xml:space="preserve"> konaklama bedelini kendileri ödemek kaydıyla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 xml:space="preserve"> izole edilmesine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>,</w:t>
      </w:r>
    </w:p>
    <w:p>
      <w:pPr>
        <w:pStyle w:val="style179"/>
        <w:numPr>
          <w:ilvl w:val="0"/>
          <w:numId w:val="1"/>
        </w:numPr>
        <w:spacing w:after="0" w:lineRule="auto" w:line="276"/>
        <w:jc w:val="both"/>
        <w:rPr>
          <w:rFonts w:ascii="Times New Roman" w:cs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 xml:space="preserve">Geçici olarak bulunduğu yerlerde PCR test sonucu pozitif olduğu anlaşılan ve 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>izolasyona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 xml:space="preserve"> alınabileceği herhangi bir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>yeri bulunmayan kişilerin izolasyo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 xml:space="preserve">na tabi tutulmaları için Valiliğimiz ve 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>Kaymakamlıklarca belirlenen yerler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>d</w:t>
      </w:r>
      <w:bookmarkStart w:id="0" w:name="_GoBack"/>
      <w:bookmarkEnd w:id="0"/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>e;</w:t>
      </w:r>
    </w:p>
    <w:p>
      <w:pPr>
        <w:pStyle w:val="style179"/>
        <w:numPr>
          <w:ilvl w:val="0"/>
          <w:numId w:val="3"/>
        </w:numPr>
        <w:spacing w:after="0" w:lineRule="auto" w:line="276"/>
        <w:jc w:val="both"/>
        <w:rPr>
          <w:rFonts w:ascii="Times New Roman" w:cs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>Ziyaretçi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>kabul edilmemesi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>ne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>,</w:t>
      </w:r>
    </w:p>
    <w:p>
      <w:pPr>
        <w:pStyle w:val="style179"/>
        <w:numPr>
          <w:ilvl w:val="0"/>
          <w:numId w:val="3"/>
        </w:numPr>
        <w:spacing w:after="0" w:lineRule="auto" w:line="276"/>
        <w:jc w:val="both"/>
        <w:rPr>
          <w:rFonts w:ascii="Times New Roman" w:cs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>Güvenlik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>önlemleri için yeteri kadar güvenlik/kolluk personeli görevlendirilmesi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>ne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>,</w:t>
      </w:r>
    </w:p>
    <w:p>
      <w:pPr>
        <w:pStyle w:val="style179"/>
        <w:numPr>
          <w:ilvl w:val="0"/>
          <w:numId w:val="3"/>
        </w:numPr>
        <w:spacing w:after="0" w:lineRule="auto" w:line="276"/>
        <w:jc w:val="both"/>
        <w:rPr>
          <w:rFonts w:ascii="Times New Roman" w:cs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>İzolasyona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>tabi tutulması kararlaştırılan kişilerin sağlık durumlarını gözlemlemek ve buralarda görevli personelin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>salgınla mücadelede belirlenen tedbirlere uygun çalışmasını sağlamak üzere yeterli sağlık personeli görevlendirilmesi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>ne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 xml:space="preserve"> </w:t>
      </w:r>
    </w:p>
    <w:p>
      <w:pPr>
        <w:pStyle w:val="style179"/>
        <w:numPr>
          <w:ilvl w:val="0"/>
          <w:numId w:val="1"/>
        </w:numPr>
        <w:spacing w:after="0" w:lineRule="atLeast" w:line="0"/>
        <w:jc w:val="both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Alınan kararların Valilik, Büyükşehir Belediyesi, kaymakamlıklar ve ilçe belediyeleri internet sayfalarında ilan edilmesine,</w:t>
      </w:r>
    </w:p>
    <w:p>
      <w:pPr>
        <w:pStyle w:val="style179"/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>Alınan kararların İl Basın ve Halkla İlişkiler Müdürlüğü tarafından yerel basında duyurulmasına,</w:t>
      </w:r>
    </w:p>
    <w:p>
      <w:pPr>
        <w:pStyle w:val="style179"/>
        <w:numPr>
          <w:ilvl w:val="0"/>
          <w:numId w:val="1"/>
        </w:numPr>
        <w:spacing w:after="0" w:lineRule="atLeast" w:line="0"/>
        <w:jc w:val="both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İlan edilen tutanakların dosyasında muhafaza edilmesine,</w:t>
      </w:r>
    </w:p>
    <w:p>
      <w:pPr>
        <w:pStyle w:val="style179"/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>Alınan kararların Kolluk, Zabıta, Sağlık, Gıda Tarım ve Hayvancılık, Milli Eğitim, Gençlik ve Spor İl Müdürlüğü personellerince ve Kaymakamlarımızca uygun görülen diğer personeller tarafından eşgüdümlü yürütülmesine,</w:t>
      </w:r>
    </w:p>
    <w:p>
      <w:pPr>
        <w:pStyle w:val="style179"/>
        <w:numPr>
          <w:ilvl w:val="0"/>
          <w:numId w:val="1"/>
        </w:numPr>
        <w:spacing w:after="0" w:lineRule="atLeast" w:line="0"/>
        <w:jc w:val="both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Alınan idari tedbirlere uymayanlara 1593 Sayılı Umumi Hıfzıssıhha Kanunu gereği idari işlemlerin kaymakamlarımız tarafından yapılmasına,</w:t>
      </w:r>
    </w:p>
    <w:p>
      <w:pPr>
        <w:pStyle w:val="style179"/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>Alınan karalara uymayarak toplum sağlığını tehlikeye düşürenler hakkında Kaymakamlıklarca adli makamlara suç duyurusunda bulunulmasına,</w:t>
      </w:r>
    </w:p>
    <w:p>
      <w:pPr>
        <w:pStyle w:val="style0"/>
        <w:spacing w:after="0" w:lineRule="auto" w:line="240"/>
        <w:ind w:left="360"/>
        <w:jc w:val="both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Oybirliğiyle karar verilmiştir.</w:t>
      </w:r>
    </w:p>
    <w:p>
      <w:pPr>
        <w:pStyle w:val="style0"/>
        <w:spacing w:after="0" w:lineRule="auto" w:line="240"/>
        <w:ind w:left="360"/>
        <w:jc w:val="both"/>
        <w:rPr>
          <w:rFonts w:ascii="Times New Roman" w:cs="Times New Roman" w:eastAsia="Calibri" w:hAnsi="Times New Roman"/>
          <w:sz w:val="24"/>
          <w:szCs w:val="24"/>
        </w:rPr>
      </w:pPr>
    </w:p>
    <w:p>
      <w:pPr>
        <w:pStyle w:val="style0"/>
        <w:spacing w:after="0" w:lineRule="auto" w:line="240"/>
        <w:ind w:left="360"/>
        <w:jc w:val="both"/>
        <w:rPr>
          <w:rFonts w:ascii="Times New Roman" w:cs="Times New Roman" w:eastAsia="Calibri" w:hAnsi="Times New Roman"/>
          <w:sz w:val="24"/>
          <w:szCs w:val="24"/>
        </w:rPr>
      </w:pPr>
    </w:p>
    <w:p>
      <w:pPr>
        <w:pStyle w:val="style0"/>
        <w:spacing w:after="0" w:lineRule="auto" w:line="240"/>
        <w:ind w:left="360"/>
        <w:jc w:val="both"/>
        <w:rPr>
          <w:rFonts w:ascii="Times New Roman" w:cs="Times New Roman" w:eastAsia="Calibri" w:hAnsi="Times New Roman"/>
          <w:sz w:val="24"/>
          <w:szCs w:val="24"/>
        </w:rPr>
      </w:pPr>
    </w:p>
    <w:p>
      <w:pPr>
        <w:pStyle w:val="style0"/>
        <w:spacing w:after="0" w:lineRule="auto" w:line="240"/>
        <w:ind w:left="360"/>
        <w:jc w:val="both"/>
        <w:rPr>
          <w:rFonts w:ascii="Times New Roman" w:cs="Times New Roman" w:eastAsia="Calibri" w:hAnsi="Times New Roman"/>
          <w:sz w:val="24"/>
          <w:szCs w:val="24"/>
        </w:rPr>
      </w:pPr>
    </w:p>
    <w:p>
      <w:pPr>
        <w:pStyle w:val="style0"/>
        <w:spacing w:after="0" w:lineRule="auto" w:line="240"/>
        <w:ind w:left="360"/>
        <w:jc w:val="both"/>
        <w:rPr>
          <w:rFonts w:ascii="Times New Roman" w:cs="Times New Roman" w:eastAsia="Calibri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Calibri" w:hAnsi="Times New Roman"/>
          <w:sz w:val="24"/>
          <w:szCs w:val="24"/>
        </w:rPr>
      </w:pPr>
    </w:p>
    <w:p>
      <w:pPr>
        <w:pStyle w:val="style0"/>
        <w:spacing w:after="0" w:lineRule="auto" w:line="240"/>
        <w:ind w:left="360"/>
        <w:jc w:val="both"/>
        <w:rPr>
          <w:rFonts w:ascii="Times New Roman" w:cs="Times New Roman" w:eastAsia="Calibri" w:hAnsi="Times New Roman"/>
          <w:sz w:val="24"/>
          <w:szCs w:val="24"/>
        </w:rPr>
      </w:pPr>
    </w:p>
    <w:p>
      <w:pPr>
        <w:pStyle w:val="style0"/>
        <w:spacing w:after="0" w:lineRule="auto" w:line="240"/>
        <w:ind w:left="360"/>
        <w:jc w:val="both"/>
        <w:rPr>
          <w:rFonts w:ascii="Times New Roman" w:cs="Times New Roman" w:eastAsia="Calibri" w:hAnsi="Times New Roman"/>
          <w:sz w:val="24"/>
          <w:szCs w:val="24"/>
        </w:rPr>
      </w:pPr>
    </w:p>
    <w:p>
      <w:pPr>
        <w:pStyle w:val="style0"/>
        <w:spacing w:after="0" w:lineRule="auto" w:line="240"/>
        <w:ind w:left="360"/>
        <w:jc w:val="both"/>
        <w:rPr>
          <w:rFonts w:ascii="Times New Roman" w:cs="Times New Roman" w:eastAsia="Calibri" w:hAnsi="Times New Roman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tr-TR"/>
        </w:rPr>
        <w:t>Ömer Faruk COŞKUN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Calibri" w:hAnsi="Times New Roman"/>
          <w:sz w:val="24"/>
          <w:szCs w:val="24"/>
          <w:lang w:eastAsia="tr-TR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Calibri" w:hAnsi="Times New Roman"/>
          <w:sz w:val="24"/>
          <w:szCs w:val="24"/>
          <w:lang w:eastAsia="tr-TR"/>
        </w:rPr>
      </w:pPr>
      <w:r>
        <w:rPr>
          <w:rFonts w:ascii="Times New Roman" w:cs="Times New Roman" w:eastAsia="Calibri" w:hAnsi="Times New Roman"/>
          <w:sz w:val="24"/>
          <w:szCs w:val="24"/>
          <w:lang w:eastAsia="tr-TR"/>
        </w:rPr>
        <w:t>Vali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Calibri" w:hAnsi="Times New Roman"/>
          <w:sz w:val="24"/>
          <w:szCs w:val="24"/>
          <w:lang w:eastAsia="tr-TR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Calibri" w:hAnsi="Times New Roman"/>
          <w:sz w:val="24"/>
          <w:szCs w:val="24"/>
          <w:lang w:eastAsia="tr-TR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Calibri" w:hAnsi="Times New Roman"/>
          <w:sz w:val="24"/>
          <w:szCs w:val="24"/>
          <w:lang w:eastAsia="tr-TR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Calibri" w:hAnsi="Times New Roman"/>
          <w:sz w:val="24"/>
          <w:szCs w:val="24"/>
          <w:lang w:eastAsia="tr-TR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Calibri" w:hAnsi="Times New Roman"/>
          <w:sz w:val="24"/>
          <w:szCs w:val="24"/>
          <w:lang w:eastAsia="tr-TR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2943"/>
        <w:gridCol w:w="3686"/>
        <w:gridCol w:w="3686"/>
      </w:tblGrid>
      <w:tr>
        <w:trPr>
          <w:trHeight w:val="313" w:hRule="atLeast"/>
        </w:trPr>
        <w:tc>
          <w:tcPr>
            <w:tcW w:w="2943" w:type="dxa"/>
            <w:tcBorders/>
            <w:shd w:val="clear" w:color="auto" w:fill="auto"/>
            <w:hideMark/>
          </w:tcPr>
          <w:p>
            <w:pPr>
              <w:pStyle w:val="style0"/>
              <w:spacing w:lineRule="auto" w:line="256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tr-TR"/>
              </w:rPr>
              <w:t>Hayrettin GÜNGÖR</w:t>
            </w:r>
          </w:p>
        </w:tc>
        <w:tc>
          <w:tcPr>
            <w:tcW w:w="3686" w:type="dxa"/>
            <w:tcBorders/>
            <w:shd w:val="clear" w:color="auto" w:fill="auto"/>
            <w:hideMark/>
          </w:tcPr>
          <w:p>
            <w:pPr>
              <w:pStyle w:val="style0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tr-TR"/>
              </w:rPr>
              <w:t>Uzm. Dr. Ali Nuri ÖKSÜZ</w:t>
            </w:r>
          </w:p>
        </w:tc>
        <w:tc>
          <w:tcPr>
            <w:tcW w:w="3686" w:type="dxa"/>
            <w:tcBorders/>
            <w:shd w:val="clear" w:color="auto" w:fill="auto"/>
            <w:hideMark/>
          </w:tcPr>
          <w:p>
            <w:pPr>
              <w:pStyle w:val="style0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tr-TR"/>
              </w:rPr>
              <w:t xml:space="preserve"> Mustafa BOZKURT</w:t>
            </w:r>
          </w:p>
        </w:tc>
      </w:tr>
      <w:tr>
        <w:tblPrEx/>
        <w:trPr>
          <w:trHeight w:val="1681" w:hRule="atLeast"/>
        </w:trPr>
        <w:tc>
          <w:tcPr>
            <w:tcW w:w="2943" w:type="dxa"/>
            <w:tcBorders/>
            <w:shd w:val="clear" w:color="auto" w:fill="auto"/>
            <w:hideMark/>
          </w:tcPr>
          <w:p>
            <w:pPr>
              <w:pStyle w:val="style0"/>
              <w:spacing w:lineRule="auto" w:line="256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tr-TR"/>
              </w:rPr>
              <w:t xml:space="preserve">Büyükşehir Belediye </w:t>
            </w:r>
          </w:p>
          <w:p>
            <w:pPr>
              <w:pStyle w:val="style0"/>
              <w:spacing w:lineRule="auto" w:line="256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tr-TR"/>
              </w:rPr>
              <w:t>Başkanı</w:t>
            </w:r>
          </w:p>
          <w:p>
            <w:pPr>
              <w:pStyle w:val="style0"/>
              <w:spacing w:lineRule="auto" w:line="256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tr-TR"/>
              </w:rPr>
            </w:pPr>
          </w:p>
          <w:p>
            <w:pPr>
              <w:pStyle w:val="style0"/>
              <w:spacing w:lineRule="auto" w:line="256"/>
              <w:rPr>
                <w:rFonts w:ascii="Times New Roman" w:cs="Times New Roman" w:eastAsia="Calibri" w:hAnsi="Times New Roman"/>
                <w:sz w:val="24"/>
                <w:szCs w:val="24"/>
                <w:lang w:eastAsia="tr-TR"/>
              </w:rPr>
            </w:pPr>
          </w:p>
          <w:p>
            <w:pPr>
              <w:pStyle w:val="style0"/>
              <w:spacing w:lineRule="auto" w:line="256"/>
              <w:rPr>
                <w:rFonts w:ascii="Times New Roman" w:cs="Times New Roman" w:eastAsia="Calibri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tcBorders/>
            <w:shd w:val="clear" w:color="auto" w:fill="auto"/>
            <w:hideMark/>
          </w:tcPr>
          <w:p>
            <w:pPr>
              <w:pStyle w:val="style0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tr-TR"/>
              </w:rPr>
              <w:t>İl Sağlık Müdürü</w:t>
            </w:r>
          </w:p>
          <w:p>
            <w:pPr>
              <w:pStyle w:val="style0"/>
              <w:jc w:val="right"/>
              <w:rPr>
                <w:rFonts w:ascii="Times New Roman" w:cs="Times New Roman" w:eastAsia="Calibri" w:hAnsi="Times New Roman"/>
                <w:sz w:val="24"/>
                <w:szCs w:val="24"/>
                <w:lang w:eastAsia="tr-TR"/>
              </w:rPr>
            </w:pP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tcBorders/>
            <w:shd w:val="clear" w:color="auto" w:fill="auto"/>
            <w:hideMark/>
          </w:tcPr>
          <w:p>
            <w:pPr>
              <w:pStyle w:val="style0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tr-TR"/>
              </w:rPr>
              <w:t>İl Tarım ve Orman Müdür V.</w:t>
            </w:r>
          </w:p>
          <w:p>
            <w:pPr>
              <w:pStyle w:val="style0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tr-TR"/>
              </w:rPr>
            </w:pPr>
          </w:p>
        </w:tc>
      </w:tr>
      <w:tr>
        <w:tblPrEx/>
        <w:trPr>
          <w:trHeight w:val="280" w:hRule="atLeast"/>
        </w:trPr>
        <w:tc>
          <w:tcPr>
            <w:tcW w:w="2943" w:type="dxa"/>
            <w:tcBorders/>
            <w:shd w:val="clear" w:color="auto" w:fill="auto"/>
            <w:hideMark/>
          </w:tcPr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tr-TR"/>
              </w:rPr>
              <w:t xml:space="preserve">       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tr-TR"/>
              </w:rPr>
              <w:t>Osman ARISAL</w:t>
            </w:r>
          </w:p>
        </w:tc>
        <w:tc>
          <w:tcPr>
            <w:tcW w:w="3686" w:type="dxa"/>
            <w:tcBorders/>
            <w:shd w:val="clear" w:color="auto" w:fill="auto"/>
            <w:hideMark/>
          </w:tcPr>
          <w:p>
            <w:pPr>
              <w:pStyle w:val="style0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cs="Times New Roman" w:eastAsia="Calibri" w:hAnsi="Times New Roman"/>
                <w:sz w:val="24"/>
                <w:szCs w:val="24"/>
                <w:lang w:val="en-US" w:eastAsia="tr-TR"/>
              </w:rPr>
              <w:t>Yusuf KAHRAMAN</w:t>
            </w:r>
          </w:p>
        </w:tc>
        <w:tc>
          <w:tcPr>
            <w:tcW w:w="3686" w:type="dxa"/>
            <w:tcBorders/>
            <w:shd w:val="clear" w:color="auto" w:fill="auto"/>
            <w:hideMark/>
          </w:tcPr>
          <w:p>
            <w:pPr>
              <w:pStyle w:val="style0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tr-TR"/>
              </w:rPr>
              <w:t>Dr.Yağmur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tr-TR"/>
              </w:rPr>
              <w:t xml:space="preserve"> DİRİ</w:t>
            </w:r>
          </w:p>
        </w:tc>
      </w:tr>
      <w:tr>
        <w:tblPrEx/>
        <w:trPr>
          <w:trHeight w:val="1695" w:hRule="atLeast"/>
        </w:trPr>
        <w:tc>
          <w:tcPr>
            <w:tcW w:w="2943" w:type="dxa"/>
            <w:tcBorders/>
            <w:shd w:val="clear" w:color="auto" w:fill="auto"/>
            <w:hideMark/>
          </w:tcPr>
          <w:p>
            <w:pPr>
              <w:pStyle w:val="style0"/>
              <w:ind w:right="-108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tr-TR"/>
              </w:rPr>
              <w:t>Çevre ve Şehircilik İl Müdürü</w:t>
            </w:r>
          </w:p>
          <w:p>
            <w:pPr>
              <w:pStyle w:val="style0"/>
              <w:ind w:right="-108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tr-TR"/>
              </w:rPr>
            </w:pPr>
          </w:p>
          <w:p>
            <w:pPr>
              <w:pStyle w:val="style0"/>
              <w:ind w:right="-108"/>
              <w:rPr>
                <w:rFonts w:ascii="Times New Roman" w:cs="Times New Roman" w:eastAsia="Calibri" w:hAnsi="Times New Roman"/>
                <w:sz w:val="24"/>
                <w:szCs w:val="24"/>
                <w:lang w:eastAsia="tr-TR"/>
              </w:rPr>
            </w:pPr>
          </w:p>
          <w:p>
            <w:pPr>
              <w:pStyle w:val="style0"/>
              <w:ind w:right="-108"/>
              <w:rPr>
                <w:rFonts w:ascii="Times New Roman" w:cs="Times New Roman" w:eastAsia="Calibri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tcBorders/>
            <w:shd w:val="clear" w:color="auto" w:fill="auto"/>
            <w:hideMark/>
          </w:tcPr>
          <w:p>
            <w:pPr>
              <w:pStyle w:val="style0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tr-TR"/>
              </w:rPr>
              <w:t>İl Milli Eğitim Müdürü</w:t>
            </w:r>
          </w:p>
        </w:tc>
        <w:tc>
          <w:tcPr>
            <w:tcW w:w="3686" w:type="dxa"/>
            <w:tcBorders/>
            <w:shd w:val="clear" w:color="auto" w:fill="auto"/>
            <w:hideMark/>
          </w:tcPr>
          <w:p>
            <w:pPr>
              <w:pStyle w:val="style0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tr-TR"/>
              </w:rPr>
              <w:t>Garnizon Tabibi</w:t>
            </w:r>
          </w:p>
          <w:p>
            <w:pPr>
              <w:pStyle w:val="style0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tr-TR"/>
              </w:rPr>
            </w:pPr>
            <w:r>
              <w:rPr>
                <w:rFonts w:cs="Times New Roman" w:eastAsia="Calibri" w:hAnsi="Times New Roman"/>
                <w:sz w:val="24"/>
                <w:szCs w:val="24"/>
                <w:lang w:val="en-US" w:eastAsia="tr-TR"/>
              </w:rPr>
              <w:t>(Katılmadı)</w:t>
            </w:r>
          </w:p>
        </w:tc>
      </w:tr>
      <w:tr>
        <w:tblPrEx/>
        <w:trPr>
          <w:trHeight w:val="360" w:hRule="atLeast"/>
        </w:trPr>
        <w:tc>
          <w:tcPr>
            <w:tcW w:w="2943" w:type="dxa"/>
            <w:tcBorders/>
            <w:shd w:val="clear" w:color="auto" w:fill="auto"/>
            <w:hideMark/>
          </w:tcPr>
          <w:p>
            <w:pPr>
              <w:pStyle w:val="style0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tr-TR"/>
              </w:rPr>
              <w:t>Uzm.Dr.Vehbi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tr-TR"/>
              </w:rPr>
              <w:t xml:space="preserve"> ŞİRİKÇİ</w:t>
            </w:r>
          </w:p>
        </w:tc>
        <w:tc>
          <w:tcPr>
            <w:tcW w:w="3686" w:type="dxa"/>
            <w:tcBorders/>
            <w:shd w:val="clear" w:color="auto" w:fill="auto"/>
            <w:hideMark/>
          </w:tcPr>
          <w:p>
            <w:pPr>
              <w:pStyle w:val="style0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tr-TR"/>
              </w:rPr>
              <w:t>Uzm.Dr.A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tr-TR"/>
              </w:rPr>
              <w:t>.Hakan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tr-TR"/>
              </w:rPr>
              <w:t xml:space="preserve"> BAYAZIT</w:t>
            </w:r>
          </w:p>
        </w:tc>
        <w:tc>
          <w:tcPr>
            <w:tcW w:w="3686" w:type="dxa"/>
            <w:tcBorders/>
            <w:shd w:val="clear" w:color="auto" w:fill="auto"/>
            <w:hideMark/>
          </w:tcPr>
          <w:p>
            <w:pPr>
              <w:pStyle w:val="style0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tr-TR"/>
              </w:rPr>
              <w:t>Ecz. Fatma Nilgün KARSLIGİL</w:t>
            </w:r>
          </w:p>
        </w:tc>
      </w:tr>
      <w:tr>
        <w:tblPrEx/>
        <w:trPr>
          <w:trHeight w:val="1625" w:hRule="atLeast"/>
        </w:trPr>
        <w:tc>
          <w:tcPr>
            <w:tcW w:w="2943" w:type="dxa"/>
            <w:tcBorders/>
            <w:shd w:val="clear" w:color="auto" w:fill="auto"/>
            <w:hideMark/>
          </w:tcPr>
          <w:p>
            <w:pPr>
              <w:pStyle w:val="style0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tr-TR"/>
              </w:rPr>
              <w:t>Necip Fazıl Şehir Hastanesi Başhekimi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eastAsia="tr-TR"/>
              </w:rPr>
            </w:pP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eastAsia="tr-TR"/>
              </w:rPr>
            </w:pP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tcBorders/>
            <w:shd w:val="clear" w:color="auto" w:fill="auto"/>
            <w:hideMark/>
          </w:tcPr>
          <w:p>
            <w:pPr>
              <w:pStyle w:val="style0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tr-TR"/>
              </w:rPr>
              <w:t>Serbest Tabip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tcBorders/>
            <w:shd w:val="clear" w:color="auto" w:fill="auto"/>
            <w:hideMark/>
          </w:tcPr>
          <w:p>
            <w:pPr>
              <w:pStyle w:val="style0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tr-TR"/>
              </w:rPr>
              <w:t>Serbest Eczacı</w:t>
            </w:r>
          </w:p>
        </w:tc>
      </w:tr>
      <w:tr>
        <w:tblPrEx/>
        <w:trPr>
          <w:trHeight w:val="80" w:hRule="atLeast"/>
        </w:trPr>
        <w:tc>
          <w:tcPr>
            <w:tcW w:w="2943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tr-TR"/>
              </w:rPr>
              <w:t>Prof.Dr.Selma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eastAsia="tr-TR"/>
              </w:rPr>
              <w:t xml:space="preserve"> ATEŞ</w:t>
            </w:r>
          </w:p>
          <w:p>
            <w:pPr>
              <w:pStyle w:val="style0"/>
              <w:ind w:right="-108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  <w:lang w:eastAsia="tr-TR"/>
              </w:rPr>
              <w:t>KSÜ Enfeksiyon Hastalıkları Uzmanı</w:t>
            </w:r>
          </w:p>
        </w:tc>
        <w:tc>
          <w:tcPr>
            <w:tcW w:w="3686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eastAsia="Calibri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Times New Roman" w:cs="Times New Roman" w:eastAsia="Calibri" w:hAnsi="Times New Roman"/>
                <w:sz w:val="24"/>
                <w:szCs w:val="24"/>
                <w:lang w:eastAsia="tr-TR"/>
              </w:rPr>
            </w:pPr>
          </w:p>
        </w:tc>
      </w:tr>
    </w:tbl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lang w:eastAsia="tr-TR"/>
        </w:rPr>
      </w:pPr>
    </w:p>
    <w:sectPr>
      <w:headerReference w:type="default" r:id="rId2"/>
      <w:pgSz w:w="11906" w:h="16838" w:orient="portrait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a2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002020404"/>
    <w:charset w:val="a2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a2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005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a2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spacing w:after="0" w:lineRule="auto" w:line="240"/>
      <w:jc w:val="center"/>
      <w:outlineLvl w:val="0"/>
      <w:rPr>
        <w:rFonts w:ascii="Times New Roman" w:cs="Times New Roman" w:eastAsia="Calibri" w:hAnsi="Times New Roman"/>
        <w:b/>
        <w:i/>
        <w:sz w:val="24"/>
        <w:szCs w:val="24"/>
        <w:lang w:eastAsia="tr-TR"/>
      </w:rPr>
    </w:pPr>
    <w:r>
      <w:rPr>
        <w:rFonts w:ascii="Times New Roman" w:cs="Times New Roman" w:eastAsia="Calibri" w:hAnsi="Times New Roman"/>
        <w:b/>
        <w:sz w:val="24"/>
        <w:szCs w:val="24"/>
        <w:lang w:eastAsia="tr-TR"/>
      </w:rPr>
      <w:t>İL UMUMİ HIFZISSIHHA MECLİS KARARI</w:t>
    </w:r>
  </w:p>
  <w:p>
    <w:pPr>
      <w:pStyle w:val="style0"/>
      <w:spacing w:after="0"/>
      <w:ind w:right="-360"/>
      <w:jc w:val="both"/>
      <w:rPr>
        <w:rFonts w:ascii="Times New Roman" w:cs="Times New Roman" w:eastAsia="Times New Roman" w:hAnsi="Times New Roman"/>
        <w:bCs/>
        <w:sz w:val="24"/>
        <w:szCs w:val="24"/>
        <w:lang w:eastAsia="tr-TR"/>
      </w:rPr>
    </w:pPr>
  </w:p>
  <w:p>
    <w:pPr>
      <w:pStyle w:val="style0"/>
      <w:spacing w:after="0" w:lineRule="auto" w:line="276"/>
      <w:ind w:right="-360"/>
      <w:jc w:val="both"/>
      <w:rPr>
        <w:rFonts w:ascii="Times New Roman" w:cs="Times New Roman" w:eastAsia="Times New Roman" w:hAnsi="Times New Roman"/>
        <w:bCs/>
        <w:sz w:val="24"/>
        <w:szCs w:val="24"/>
        <w:lang w:eastAsia="tr-TR"/>
      </w:rPr>
    </w:pPr>
    <w:r>
      <w:rPr>
        <w:rFonts w:ascii="Times New Roman" w:cs="Times New Roman" w:eastAsia="Times New Roman" w:hAnsi="Times New Roman"/>
        <w:bCs/>
        <w:sz w:val="24"/>
        <w:szCs w:val="24"/>
        <w:lang w:eastAsia="tr-TR"/>
      </w:rPr>
      <w:t>KARAR NO</w:t>
    </w:r>
    <w:r>
      <w:rPr>
        <w:rFonts w:ascii="Times New Roman" w:cs="Times New Roman" w:eastAsia="Times New Roman" w:hAnsi="Times New Roman"/>
        <w:bCs/>
        <w:sz w:val="24"/>
        <w:szCs w:val="24"/>
        <w:lang w:eastAsia="tr-TR"/>
      </w:rPr>
      <w:tab/>
    </w:r>
    <w:r>
      <w:rPr>
        <w:rFonts w:ascii="Times New Roman" w:cs="Times New Roman" w:eastAsia="Times New Roman" w:hAnsi="Times New Roman"/>
        <w:bCs/>
        <w:sz w:val="24"/>
        <w:szCs w:val="24"/>
        <w:lang w:eastAsia="tr-TR"/>
      </w:rPr>
      <w:tab/>
    </w:r>
    <w:r>
      <w:rPr>
        <w:rFonts w:ascii="Times New Roman" w:cs="Times New Roman" w:eastAsia="Times New Roman" w:hAnsi="Times New Roman"/>
        <w:sz w:val="24"/>
        <w:szCs w:val="24"/>
        <w:lang w:eastAsia="tr-TR"/>
      </w:rPr>
      <w:t>: 39</w:t>
    </w:r>
  </w:p>
  <w:p>
    <w:pPr>
      <w:pStyle w:val="style0"/>
      <w:spacing w:after="0" w:lineRule="auto" w:line="276"/>
      <w:ind w:right="-360"/>
      <w:jc w:val="both"/>
      <w:rPr>
        <w:rFonts w:ascii="Times New Roman" w:cs="Times New Roman" w:eastAsia="Times New Roman" w:hAnsi="Times New Roman"/>
        <w:sz w:val="24"/>
        <w:szCs w:val="24"/>
        <w:lang w:eastAsia="tr-TR"/>
      </w:rPr>
    </w:pPr>
    <w:r>
      <w:rPr>
        <w:rFonts w:ascii="Times New Roman" w:cs="Times New Roman" w:eastAsia="Times New Roman" w:hAnsi="Times New Roman"/>
        <w:bCs/>
        <w:sz w:val="24"/>
        <w:szCs w:val="24"/>
        <w:lang w:eastAsia="tr-TR"/>
      </w:rPr>
      <w:t>KARAR TARİHİ</w:t>
    </w:r>
    <w:r>
      <w:rPr>
        <w:rFonts w:ascii="Times New Roman" w:cs="Times New Roman" w:eastAsia="Times New Roman" w:hAnsi="Times New Roman"/>
        <w:bCs/>
        <w:sz w:val="24"/>
        <w:szCs w:val="24"/>
        <w:lang w:eastAsia="tr-TR"/>
      </w:rPr>
      <w:tab/>
    </w:r>
    <w:r>
      <w:rPr>
        <w:rFonts w:ascii="Times New Roman" w:cs="Times New Roman" w:eastAsia="Times New Roman" w:hAnsi="Times New Roman"/>
        <w:sz w:val="24"/>
        <w:szCs w:val="24"/>
        <w:lang w:eastAsia="tr-TR"/>
      </w:rPr>
      <w:t>: 15</w:t>
    </w:r>
    <w:r>
      <w:rPr>
        <w:rFonts w:ascii="Times New Roman" w:cs="Times New Roman" w:eastAsia="Times New Roman" w:hAnsi="Times New Roman"/>
        <w:sz w:val="24"/>
        <w:szCs w:val="24"/>
        <w:lang w:eastAsia="tr-TR"/>
      </w:rPr>
      <w:t>.0</w:t>
    </w:r>
    <w:r>
      <w:rPr>
        <w:rFonts w:ascii="Times New Roman" w:cs="Times New Roman" w:eastAsia="Times New Roman" w:hAnsi="Times New Roman"/>
        <w:sz w:val="24"/>
        <w:szCs w:val="24"/>
        <w:lang w:eastAsia="tr-TR"/>
      </w:rPr>
      <w:t>9</w:t>
    </w:r>
    <w:r>
      <w:rPr>
        <w:rFonts w:ascii="Times New Roman" w:cs="Times New Roman" w:eastAsia="Times New Roman" w:hAnsi="Times New Roman"/>
        <w:sz w:val="24"/>
        <w:szCs w:val="24"/>
        <w:lang w:eastAsia="tr-TR"/>
      </w:rPr>
      <w:t>.2021</w:t>
    </w:r>
  </w:p>
  <w:p>
    <w:pPr>
      <w:pStyle w:val="style31"/>
      <w:rPr/>
    </w:pP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21490DE"/>
    <w:lvl w:ilvl="0" w:tplc="011CF5A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000001"/>
    <w:multiLevelType w:val="hybridMultilevel"/>
    <w:tmpl w:val="F2FA14F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CD3E77BE"/>
    <w:lvl w:ilvl="0" w:tplc="2BC2022C">
      <w:start w:val="1"/>
      <w:numFmt w:val="bullet"/>
      <w:lvlText w:val="-"/>
      <w:lvlJc w:val="left"/>
      <w:pPr>
        <w:ind w:left="1004" w:hanging="360"/>
      </w:pPr>
      <w:rPr>
        <w:rFonts w:ascii="Times New Roman" w:cs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cs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cs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cs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tr-TR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160" w:lineRule="auto" w:line="259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536"/>
        <w:tab w:val="right" w:leader="none" w:pos="9072"/>
      </w:tabs>
      <w:spacing w:after="0" w:lineRule="auto" w:line="240"/>
    </w:pPr>
    <w:rPr/>
  </w:style>
  <w:style w:type="character" w:customStyle="1" w:styleId="style4097">
    <w:name w:val="Üstbilgi Char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536"/>
        <w:tab w:val="right" w:leader="none" w:pos="9072"/>
      </w:tabs>
      <w:spacing w:after="0" w:lineRule="auto" w:line="240"/>
    </w:pPr>
    <w:rPr/>
  </w:style>
  <w:style w:type="character" w:customStyle="1" w:styleId="style4098">
    <w:name w:val="Altbilgi Char"/>
    <w:basedOn w:val="style65"/>
    <w:next w:val="style4098"/>
    <w:link w:val="style32"/>
    <w:uiPriority w:val="99"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on Metni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360</Words>
  <Pages>2</Pages>
  <Characters>2740</Characters>
  <Application>WPS Office</Application>
  <DocSecurity>0</DocSecurity>
  <Paragraphs>84</Paragraphs>
  <ScaleCrop>false</ScaleCrop>
  <LinksUpToDate>false</LinksUpToDate>
  <CharactersWithSpaces>3071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2021-09-15T15:02:46Z</dcterms:created>
  <dc:creator>EMİNE AYHAN</dc:creator>
  <lastModifiedBy>Redmi Note 8</lastModifiedBy>
  <dcterms:modified xsi:type="dcterms:W3CDTF">2021-09-15T15:02:46Z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e8fbfa50e02f43c7850d3917bb66a044</vt:lpwstr>
  </property>
</Properties>
</file>